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Lines w:val="0"/>
        <w:spacing w:after="0" w:before="0" w:line="240" w:lineRule="auto"/>
        <w:ind w:firstLine="0"/>
        <w:jc w:val="center"/>
        <w:rPr>
          <w:rFonts w:ascii="Arial" w:cs="Arial" w:eastAsia="Arial" w:hAnsi="Arial"/>
          <w:b w:val="0"/>
          <w:sz w:val="21"/>
          <w:szCs w:val="21"/>
        </w:rPr>
      </w:pPr>
      <w:bookmarkStart w:colFirst="0" w:colLast="0" w:name="_heading=h.3a718u9ikbj9" w:id="0"/>
      <w:bookmarkEnd w:id="0"/>
      <w:r w:rsidDel="00000000" w:rsidR="00000000" w:rsidRPr="00000000">
        <w:rPr>
          <w:rFonts w:ascii="Arial" w:cs="Arial" w:eastAsia="Arial" w:hAnsi="Arial"/>
          <w:sz w:val="21"/>
          <w:szCs w:val="21"/>
          <w:rtl w:val="0"/>
        </w:rPr>
        <w:t xml:space="preserve">WORKER-BENEFICIARY RATIO</w:t>
      </w:r>
      <w:r w:rsidDel="00000000" w:rsidR="00000000" w:rsidRPr="00000000">
        <w:rPr>
          <w:rtl w:val="0"/>
        </w:rPr>
      </w:r>
    </w:p>
    <w:p w:rsidR="00000000" w:rsidDel="00000000" w:rsidP="00000000" w:rsidRDefault="00000000" w:rsidRPr="00000000" w14:paraId="00000002">
      <w:pPr>
        <w:spacing w:after="0" w:line="240" w:lineRule="auto"/>
        <w:ind w:firstLine="0"/>
        <w:jc w:val="both"/>
        <w:rPr>
          <w:rFonts w:ascii="Arial" w:cs="Arial" w:eastAsia="Arial" w:hAnsi="Arial"/>
          <w:sz w:val="21"/>
          <w:szCs w:val="21"/>
        </w:rPr>
      </w:pPr>
      <w:r w:rsidDel="00000000" w:rsidR="00000000" w:rsidRPr="00000000">
        <w:rPr>
          <w:rtl w:val="0"/>
        </w:rPr>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03">
            <w:pPr>
              <w:numPr>
                <w:ilvl w:val="0"/>
                <w:numId w:val="8"/>
              </w:numPr>
              <w:spacing w:after="0" w:lineRule="auto"/>
              <w:ind w:left="720" w:hanging="360"/>
              <w:jc w:val="both"/>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STANDARD RATIO OF FULL TIME RSW FOR RESIDENTIAL-BASED:</w:t>
            </w:r>
          </w:p>
        </w:tc>
      </w:tr>
      <w:tr>
        <w:trPr>
          <w:cantSplit w:val="0"/>
          <w:tblHeader w:val="0"/>
        </w:trPr>
        <w:tc>
          <w:tcPr/>
          <w:p w:rsidR="00000000" w:rsidDel="00000000" w:rsidP="00000000" w:rsidRDefault="00000000" w:rsidRPr="00000000" w14:paraId="00000004">
            <w:pPr>
              <w:spacing w:after="0" w:lineRule="auto"/>
              <w:ind w:firstLine="0"/>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5">
            <w:pPr>
              <w:spacing w:after="0" w:lineRule="auto"/>
              <w:ind w:firstLine="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For individual casework:</w:t>
            </w:r>
          </w:p>
          <w:p w:rsidR="00000000" w:rsidDel="00000000" w:rsidP="00000000" w:rsidRDefault="00000000" w:rsidRPr="00000000" w14:paraId="00000006">
            <w:pPr>
              <w:numPr>
                <w:ilvl w:val="0"/>
                <w:numId w:val="1"/>
              </w:numPr>
              <w:spacing w:after="0" w:lineRule="auto"/>
              <w:ind w:left="444"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1:25 children for placement (applicable to nursery homes, and reception and study centers) </w:t>
            </w:r>
          </w:p>
          <w:p w:rsidR="00000000" w:rsidDel="00000000" w:rsidP="00000000" w:rsidRDefault="00000000" w:rsidRPr="00000000" w14:paraId="00000007">
            <w:pPr>
              <w:numPr>
                <w:ilvl w:val="0"/>
                <w:numId w:val="1"/>
              </w:numPr>
              <w:spacing w:after="0" w:lineRule="auto"/>
              <w:ind w:left="455" w:hanging="36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1:20 Children in Need of Special Protection (CNSP) and persons in crisis needing case work </w:t>
            </w:r>
          </w:p>
          <w:p w:rsidR="00000000" w:rsidDel="00000000" w:rsidP="00000000" w:rsidRDefault="00000000" w:rsidRPr="00000000" w14:paraId="00000008">
            <w:pPr>
              <w:numPr>
                <w:ilvl w:val="0"/>
                <w:numId w:val="4"/>
              </w:numPr>
              <w:spacing w:after="0" w:lineRule="auto"/>
              <w:ind w:left="45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1:15 Children in Conflict with the Law (CICL)</w:t>
            </w:r>
          </w:p>
          <w:p w:rsidR="00000000" w:rsidDel="00000000" w:rsidP="00000000" w:rsidRDefault="00000000" w:rsidRPr="00000000" w14:paraId="00000009">
            <w:pPr>
              <w:numPr>
                <w:ilvl w:val="0"/>
                <w:numId w:val="1"/>
              </w:numPr>
              <w:spacing w:after="0" w:lineRule="auto"/>
              <w:ind w:left="444"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1:60 children for independent living, education purposes, temporary residential care due to crisis circumstances at home</w:t>
            </w:r>
          </w:p>
          <w:p w:rsidR="00000000" w:rsidDel="00000000" w:rsidP="00000000" w:rsidRDefault="00000000" w:rsidRPr="00000000" w14:paraId="0000000A">
            <w:pPr>
              <w:numPr>
                <w:ilvl w:val="0"/>
                <w:numId w:val="1"/>
              </w:numPr>
              <w:spacing w:after="0" w:lineRule="auto"/>
              <w:ind w:left="444"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1:25 disadvantaged women/Internally Displaced Persons (IDPs)</w:t>
            </w:r>
          </w:p>
          <w:p w:rsidR="00000000" w:rsidDel="00000000" w:rsidP="00000000" w:rsidRDefault="00000000" w:rsidRPr="00000000" w14:paraId="0000000B">
            <w:pPr>
              <w:numPr>
                <w:ilvl w:val="0"/>
                <w:numId w:val="1"/>
              </w:numPr>
              <w:spacing w:after="0" w:lineRule="auto"/>
              <w:ind w:left="444"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1:15 women with dependents</w:t>
            </w:r>
          </w:p>
          <w:p w:rsidR="00000000" w:rsidDel="00000000" w:rsidP="00000000" w:rsidRDefault="00000000" w:rsidRPr="00000000" w14:paraId="0000000C">
            <w:pPr>
              <w:numPr>
                <w:ilvl w:val="0"/>
                <w:numId w:val="1"/>
              </w:numPr>
              <w:spacing w:after="0" w:lineRule="auto"/>
              <w:ind w:left="444" w:hanging="36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1:25 senior citizens</w:t>
            </w:r>
          </w:p>
          <w:p w:rsidR="00000000" w:rsidDel="00000000" w:rsidP="00000000" w:rsidRDefault="00000000" w:rsidRPr="00000000" w14:paraId="0000000D">
            <w:pPr>
              <w:numPr>
                <w:ilvl w:val="0"/>
                <w:numId w:val="1"/>
              </w:numPr>
              <w:spacing w:after="0" w:lineRule="auto"/>
              <w:ind w:left="444" w:hanging="36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1:15 persons with disabilities</w:t>
            </w:r>
          </w:p>
          <w:p w:rsidR="00000000" w:rsidDel="00000000" w:rsidP="00000000" w:rsidRDefault="00000000" w:rsidRPr="00000000" w14:paraId="0000000E">
            <w:pPr>
              <w:spacing w:after="0" w:lineRule="auto"/>
              <w:ind w:left="720" w:firstLine="0"/>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F">
            <w:pPr>
              <w:spacing w:after="0" w:lineRule="auto"/>
              <w:ind w:firstLine="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For group work: </w:t>
            </w:r>
          </w:p>
          <w:p w:rsidR="00000000" w:rsidDel="00000000" w:rsidP="00000000" w:rsidRDefault="00000000" w:rsidRPr="00000000" w14:paraId="00000010">
            <w:pPr>
              <w:numPr>
                <w:ilvl w:val="0"/>
                <w:numId w:val="1"/>
              </w:numPr>
              <w:spacing w:after="0" w:lineRule="auto"/>
              <w:ind w:left="444" w:hanging="36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1:3 groups at a time (five (5) to seven (7) members - based on Social Work with Groups: Structural Properties of groups)</w:t>
            </w:r>
          </w:p>
          <w:p w:rsidR="00000000" w:rsidDel="00000000" w:rsidP="00000000" w:rsidRDefault="00000000" w:rsidRPr="00000000" w14:paraId="00000011">
            <w:pPr>
              <w:spacing w:after="0" w:lineRule="auto"/>
              <w:ind w:firstLine="0"/>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2">
            <w:pPr>
              <w:spacing w:after="0" w:lineRule="auto"/>
              <w:ind w:firstLine="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For work with families:</w:t>
            </w:r>
          </w:p>
          <w:p w:rsidR="00000000" w:rsidDel="00000000" w:rsidP="00000000" w:rsidRDefault="00000000" w:rsidRPr="00000000" w14:paraId="00000013">
            <w:pPr>
              <w:numPr>
                <w:ilvl w:val="0"/>
                <w:numId w:val="1"/>
              </w:numPr>
              <w:spacing w:after="0" w:lineRule="auto"/>
              <w:ind w:left="444" w:hanging="36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1:5 families at a time, either for casework or group work.</w:t>
            </w:r>
          </w:p>
          <w:p w:rsidR="00000000" w:rsidDel="00000000" w:rsidP="00000000" w:rsidRDefault="00000000" w:rsidRPr="00000000" w14:paraId="00000014">
            <w:pPr>
              <w:spacing w:after="0" w:lineRule="auto"/>
              <w:ind w:firstLine="0"/>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5">
            <w:pPr>
              <w:spacing w:after="0" w:lineRule="auto"/>
              <w:ind w:firstLine="0"/>
              <w:jc w:val="both"/>
              <w:rPr>
                <w:rFonts w:ascii="Arial" w:cs="Arial" w:eastAsia="Arial" w:hAnsi="Arial"/>
                <w:i w:val="1"/>
                <w:sz w:val="21"/>
                <w:szCs w:val="21"/>
              </w:rPr>
            </w:pPr>
            <w:r w:rsidDel="00000000" w:rsidR="00000000" w:rsidRPr="00000000">
              <w:rPr>
                <w:rFonts w:ascii="Arial" w:cs="Arial" w:eastAsia="Arial" w:hAnsi="Arial"/>
                <w:i w:val="1"/>
                <w:sz w:val="21"/>
                <w:szCs w:val="21"/>
                <w:rtl w:val="0"/>
              </w:rPr>
              <w:t xml:space="preserve">Social Welfare Assistant (SW Assistant): In excess of at least 50% of the standard ratio for RSWs, the SW Assistant shall assist in the case management of the excess caseload. However, only the RSW shall sign and submit pertinent documents.</w:t>
            </w:r>
          </w:p>
          <w:p w:rsidR="00000000" w:rsidDel="00000000" w:rsidP="00000000" w:rsidRDefault="00000000" w:rsidRPr="00000000" w14:paraId="00000016">
            <w:pPr>
              <w:spacing w:after="0" w:lineRule="auto"/>
              <w:ind w:firstLine="0"/>
              <w:jc w:val="both"/>
              <w:rPr>
                <w:rFonts w:ascii="Arial" w:cs="Arial" w:eastAsia="Arial" w:hAnsi="Arial"/>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17">
            <w:pPr>
              <w:numPr>
                <w:ilvl w:val="0"/>
                <w:numId w:val="8"/>
              </w:numPr>
              <w:spacing w:after="0" w:lineRule="auto"/>
              <w:ind w:left="720" w:hanging="360"/>
              <w:jc w:val="both"/>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STANDARD RATIO OF FULL TIME RSW FOR CENTER-BASED:</w:t>
            </w:r>
          </w:p>
        </w:tc>
      </w:tr>
      <w:tr>
        <w:trPr>
          <w:cantSplit w:val="0"/>
          <w:tblHeader w:val="0"/>
        </w:trPr>
        <w:tc>
          <w:tcPr/>
          <w:p w:rsidR="00000000" w:rsidDel="00000000" w:rsidP="00000000" w:rsidRDefault="00000000" w:rsidRPr="00000000" w14:paraId="00000018">
            <w:pPr>
              <w:spacing w:after="0" w:lineRule="auto"/>
              <w:ind w:firstLine="0"/>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9">
            <w:pPr>
              <w:numPr>
                <w:ilvl w:val="0"/>
                <w:numId w:val="2"/>
              </w:numPr>
              <w:spacing w:after="0" w:lineRule="auto"/>
              <w:ind w:left="450" w:hanging="36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1:30 beneficiaries for National Vocational Rehabilitation Center (NVRC), Area Vocational Rehabilitation Centers (AVRCS) and other Centers providing similar Programs and Services for persons with disabilities (PWDs)</w:t>
            </w:r>
          </w:p>
          <w:p w:rsidR="00000000" w:rsidDel="00000000" w:rsidP="00000000" w:rsidRDefault="00000000" w:rsidRPr="00000000" w14:paraId="0000001A">
            <w:pPr>
              <w:numPr>
                <w:ilvl w:val="0"/>
                <w:numId w:val="2"/>
              </w:numPr>
              <w:spacing w:after="0" w:lineRule="auto"/>
              <w:ind w:left="450" w:hanging="36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1:30 beneficiaries  for Stimulation and Therapeutic Activity Centers (STACS), Hospices and Physical Rehabilitation Centers Providing Free and/or Socialized Stimulation, Therapeutic and Physical Rehabilitation Services for children with disabilities</w:t>
            </w:r>
          </w:p>
          <w:p w:rsidR="00000000" w:rsidDel="00000000" w:rsidP="00000000" w:rsidRDefault="00000000" w:rsidRPr="00000000" w14:paraId="0000001B">
            <w:pPr>
              <w:numPr>
                <w:ilvl w:val="0"/>
                <w:numId w:val="2"/>
              </w:numPr>
              <w:spacing w:after="0" w:lineRule="auto"/>
              <w:ind w:left="450" w:hanging="36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1:25 beneficiaries  for Reception and Action Centers (RAC), Drop-In Centers and other centers providing similar Programs and Services for children in street situations (CISS)</w:t>
            </w:r>
          </w:p>
          <w:p w:rsidR="00000000" w:rsidDel="00000000" w:rsidP="00000000" w:rsidRDefault="00000000" w:rsidRPr="00000000" w14:paraId="0000001C">
            <w:pPr>
              <w:numPr>
                <w:ilvl w:val="0"/>
                <w:numId w:val="2"/>
              </w:numPr>
              <w:spacing w:after="0" w:lineRule="auto"/>
              <w:ind w:left="450" w:hanging="360"/>
              <w:jc w:val="both"/>
              <w:rPr>
                <w:rFonts w:ascii="Noto Sans Symbols" w:cs="Noto Sans Symbols" w:eastAsia="Noto Sans Symbols" w:hAnsi="Noto Sans Symbols"/>
                <w:sz w:val="21"/>
                <w:szCs w:val="21"/>
              </w:rPr>
            </w:pPr>
            <w:r w:rsidDel="00000000" w:rsidR="00000000" w:rsidRPr="00000000">
              <w:rPr>
                <w:rFonts w:ascii="Arial" w:cs="Arial" w:eastAsia="Arial" w:hAnsi="Arial"/>
                <w:sz w:val="21"/>
                <w:szCs w:val="21"/>
                <w:rtl w:val="0"/>
              </w:rPr>
              <w:t xml:space="preserve">1:25 at a time for Violence Against Women and Children (VAWC) and victim-survivors of trafficking</w:t>
            </w:r>
          </w:p>
          <w:p w:rsidR="00000000" w:rsidDel="00000000" w:rsidP="00000000" w:rsidRDefault="00000000" w:rsidRPr="00000000" w14:paraId="0000001D">
            <w:pPr>
              <w:spacing w:after="0" w:lineRule="auto"/>
              <w:ind w:firstLine="0"/>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E">
            <w:pPr>
              <w:spacing w:after="0" w:lineRule="auto"/>
              <w:ind w:firstLine="0"/>
              <w:jc w:val="both"/>
              <w:rPr>
                <w:rFonts w:ascii="Arial" w:cs="Arial" w:eastAsia="Arial" w:hAnsi="Arial"/>
                <w:sz w:val="21"/>
                <w:szCs w:val="21"/>
              </w:rPr>
            </w:pPr>
            <w:r w:rsidDel="00000000" w:rsidR="00000000" w:rsidRPr="00000000">
              <w:rPr>
                <w:rFonts w:ascii="Arial" w:cs="Arial" w:eastAsia="Arial" w:hAnsi="Arial"/>
                <w:i w:val="1"/>
                <w:sz w:val="21"/>
                <w:szCs w:val="21"/>
                <w:rtl w:val="0"/>
              </w:rPr>
              <w:t xml:space="preserve">SW Assistant: In excess of at least 50% of the standard ratio for RSWs, the SW Assistant shall assist in the case management of the excess caseload. However, only the RSW shall sign and submit pertinent documents.</w:t>
            </w:r>
            <w:r w:rsidDel="00000000" w:rsidR="00000000" w:rsidRPr="00000000">
              <w:rPr>
                <w:rtl w:val="0"/>
              </w:rPr>
            </w:r>
          </w:p>
          <w:p w:rsidR="00000000" w:rsidDel="00000000" w:rsidP="00000000" w:rsidRDefault="00000000" w:rsidRPr="00000000" w14:paraId="0000001F">
            <w:pPr>
              <w:spacing w:after="0" w:lineRule="auto"/>
              <w:ind w:left="720" w:firstLine="0"/>
              <w:jc w:val="both"/>
              <w:rPr>
                <w:rFonts w:ascii="Arial" w:cs="Arial" w:eastAsia="Arial" w:hAnsi="Arial"/>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20">
            <w:pPr>
              <w:numPr>
                <w:ilvl w:val="0"/>
                <w:numId w:val="8"/>
              </w:numPr>
              <w:spacing w:after="0" w:lineRule="auto"/>
              <w:ind w:left="720" w:hanging="360"/>
              <w:jc w:val="both"/>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STANDARD RATIO OF RSW / PROGRAM OFFICERS FOR COMMUNITY-BASED:</w:t>
            </w:r>
          </w:p>
        </w:tc>
      </w:tr>
      <w:tr>
        <w:trPr>
          <w:cantSplit w:val="0"/>
          <w:tblHeader w:val="0"/>
        </w:trPr>
        <w:tc>
          <w:tcPr/>
          <w:p w:rsidR="00000000" w:rsidDel="00000000" w:rsidP="00000000" w:rsidRDefault="00000000" w:rsidRPr="00000000" w14:paraId="00000021">
            <w:pPr>
              <w:spacing w:after="0" w:lineRule="auto"/>
              <w:ind w:left="720" w:firstLine="0"/>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22">
            <w:pPr>
              <w:numPr>
                <w:ilvl w:val="0"/>
                <w:numId w:val="7"/>
              </w:numPr>
              <w:spacing w:after="0" w:lineRule="auto"/>
              <w:ind w:left="720" w:hanging="36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A full-time RSW/Program Officer </w:t>
            </w:r>
            <w:r w:rsidDel="00000000" w:rsidR="00000000" w:rsidRPr="00000000">
              <w:rPr>
                <w:rFonts w:ascii="Arial" w:cs="Arial" w:eastAsia="Arial" w:hAnsi="Arial"/>
                <w:b w:val="1"/>
                <w:i w:val="1"/>
                <w:sz w:val="21"/>
                <w:szCs w:val="21"/>
                <w:u w:val="single"/>
                <w:rtl w:val="0"/>
              </w:rPr>
              <w:t xml:space="preserve">OR</w:t>
            </w:r>
            <w:r w:rsidDel="00000000" w:rsidR="00000000" w:rsidRPr="00000000">
              <w:rPr>
                <w:rFonts w:ascii="Arial" w:cs="Arial" w:eastAsia="Arial" w:hAnsi="Arial"/>
                <w:sz w:val="21"/>
                <w:szCs w:val="21"/>
                <w:rtl w:val="0"/>
              </w:rPr>
              <w:t xml:space="preserve"> a part-time RSW/Program Officer, reporting for at least twenty-four (24) hours or not less than three (3) days a week, is assisted by an SW Assistant or appropriate number of trained volunteers shall simultaneously manage the following:</w:t>
            </w:r>
          </w:p>
          <w:p w:rsidR="00000000" w:rsidDel="00000000" w:rsidP="00000000" w:rsidRDefault="00000000" w:rsidRPr="00000000" w14:paraId="00000023">
            <w:pPr>
              <w:spacing w:after="0" w:lineRule="auto"/>
              <w:ind w:left="720" w:firstLine="0"/>
              <w:jc w:val="both"/>
              <w:rPr>
                <w:rFonts w:ascii="Arial" w:cs="Arial" w:eastAsia="Arial" w:hAnsi="Arial"/>
                <w:strike w:val="1"/>
                <w:sz w:val="21"/>
                <w:szCs w:val="21"/>
              </w:rPr>
            </w:pPr>
            <w:r w:rsidDel="00000000" w:rsidR="00000000" w:rsidRPr="00000000">
              <w:rPr>
                <w:rtl w:val="0"/>
              </w:rPr>
            </w:r>
          </w:p>
          <w:p w:rsidR="00000000" w:rsidDel="00000000" w:rsidP="00000000" w:rsidRDefault="00000000" w:rsidRPr="00000000" w14:paraId="00000024">
            <w:pPr>
              <w:numPr>
                <w:ilvl w:val="0"/>
                <w:numId w:val="9"/>
              </w:numPr>
              <w:spacing w:after="0" w:lineRule="auto"/>
              <w:ind w:left="1080" w:hanging="360"/>
              <w:jc w:val="both"/>
              <w:rPr>
                <w:rFonts w:ascii="Noto Sans Symbols" w:cs="Noto Sans Symbols" w:eastAsia="Noto Sans Symbols" w:hAnsi="Noto Sans Symbols"/>
                <w:sz w:val="21"/>
                <w:szCs w:val="21"/>
              </w:rPr>
            </w:pPr>
            <w:r w:rsidDel="00000000" w:rsidR="00000000" w:rsidRPr="00000000">
              <w:rPr>
                <w:rFonts w:ascii="Arial" w:cs="Arial" w:eastAsia="Arial" w:hAnsi="Arial"/>
                <w:sz w:val="21"/>
                <w:szCs w:val="21"/>
                <w:rtl w:val="0"/>
              </w:rPr>
              <w:t xml:space="preserve">For agencies that implement generalist approach:</w:t>
            </w:r>
          </w:p>
          <w:p w:rsidR="00000000" w:rsidDel="00000000" w:rsidP="00000000" w:rsidRDefault="00000000" w:rsidRPr="00000000" w14:paraId="00000025">
            <w:pPr>
              <w:numPr>
                <w:ilvl w:val="1"/>
                <w:numId w:val="9"/>
              </w:numPr>
              <w:spacing w:after="0" w:lineRule="auto"/>
              <w:ind w:left="1440" w:hanging="360"/>
              <w:jc w:val="both"/>
              <w:rPr>
                <w:rFonts w:ascii="Courier New" w:cs="Courier New" w:eastAsia="Courier New" w:hAnsi="Courier New"/>
                <w:sz w:val="21"/>
                <w:szCs w:val="21"/>
              </w:rPr>
            </w:pPr>
            <w:r w:rsidDel="00000000" w:rsidR="00000000" w:rsidRPr="00000000">
              <w:rPr>
                <w:rFonts w:ascii="Arial" w:cs="Arial" w:eastAsia="Arial" w:hAnsi="Arial"/>
                <w:sz w:val="21"/>
                <w:szCs w:val="21"/>
                <w:rtl w:val="0"/>
              </w:rPr>
              <w:t xml:space="preserve">1:100 individuals for casework</w:t>
            </w:r>
          </w:p>
          <w:p w:rsidR="00000000" w:rsidDel="00000000" w:rsidP="00000000" w:rsidRDefault="00000000" w:rsidRPr="00000000" w14:paraId="00000026">
            <w:pPr>
              <w:numPr>
                <w:ilvl w:val="1"/>
                <w:numId w:val="9"/>
              </w:numPr>
              <w:spacing w:after="0" w:lineRule="auto"/>
              <w:ind w:left="1440" w:hanging="360"/>
              <w:rPr>
                <w:rFonts w:ascii="Courier New" w:cs="Courier New" w:eastAsia="Courier New" w:hAnsi="Courier New"/>
                <w:sz w:val="21"/>
                <w:szCs w:val="21"/>
              </w:rPr>
            </w:pPr>
            <w:r w:rsidDel="00000000" w:rsidR="00000000" w:rsidRPr="00000000">
              <w:rPr>
                <w:rFonts w:ascii="Arial" w:cs="Arial" w:eastAsia="Arial" w:hAnsi="Arial"/>
                <w:sz w:val="21"/>
                <w:szCs w:val="21"/>
                <w:rtl w:val="0"/>
              </w:rPr>
              <w:t xml:space="preserve">1:5 groups with twenty-five (25) members each for group work</w:t>
            </w:r>
          </w:p>
          <w:p w:rsidR="00000000" w:rsidDel="00000000" w:rsidP="00000000" w:rsidRDefault="00000000" w:rsidRPr="00000000" w14:paraId="00000027">
            <w:pPr>
              <w:numPr>
                <w:ilvl w:val="1"/>
                <w:numId w:val="9"/>
              </w:numPr>
              <w:spacing w:after="0" w:lineRule="auto"/>
              <w:ind w:left="1440" w:hanging="360"/>
              <w:jc w:val="both"/>
              <w:rPr>
                <w:rFonts w:ascii="Courier New" w:cs="Courier New" w:eastAsia="Courier New" w:hAnsi="Courier New"/>
                <w:sz w:val="21"/>
                <w:szCs w:val="21"/>
              </w:rPr>
            </w:pPr>
            <w:r w:rsidDel="00000000" w:rsidR="00000000" w:rsidRPr="00000000">
              <w:rPr>
                <w:rFonts w:ascii="Arial" w:cs="Arial" w:eastAsia="Arial" w:hAnsi="Arial"/>
                <w:sz w:val="21"/>
                <w:szCs w:val="21"/>
                <w:rtl w:val="0"/>
              </w:rPr>
              <w:t xml:space="preserve">1:10 families with five (5) members each for family casework</w:t>
            </w:r>
          </w:p>
          <w:p w:rsidR="00000000" w:rsidDel="00000000" w:rsidP="00000000" w:rsidRDefault="00000000" w:rsidRPr="00000000" w14:paraId="00000028">
            <w:pPr>
              <w:spacing w:after="0" w:lineRule="auto"/>
              <w:ind w:left="1440" w:firstLine="0"/>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29">
            <w:pPr>
              <w:numPr>
                <w:ilvl w:val="0"/>
                <w:numId w:val="9"/>
              </w:numPr>
              <w:spacing w:after="0" w:lineRule="auto"/>
              <w:ind w:left="1080" w:hanging="360"/>
              <w:jc w:val="both"/>
              <w:rPr>
                <w:rFonts w:ascii="Noto Sans Symbols" w:cs="Noto Sans Symbols" w:eastAsia="Noto Sans Symbols" w:hAnsi="Noto Sans Symbols"/>
                <w:sz w:val="21"/>
                <w:szCs w:val="21"/>
              </w:rPr>
            </w:pPr>
            <w:r w:rsidDel="00000000" w:rsidR="00000000" w:rsidRPr="00000000">
              <w:rPr>
                <w:rFonts w:ascii="Arial" w:cs="Arial" w:eastAsia="Arial" w:hAnsi="Arial"/>
                <w:sz w:val="21"/>
                <w:szCs w:val="21"/>
                <w:rtl w:val="0"/>
              </w:rPr>
              <w:t xml:space="preserve">For SWAs implementing Community Organizing / Community Development</w:t>
            </w:r>
          </w:p>
          <w:p w:rsidR="00000000" w:rsidDel="00000000" w:rsidP="00000000" w:rsidRDefault="00000000" w:rsidRPr="00000000" w14:paraId="0000002A">
            <w:pPr>
              <w:numPr>
                <w:ilvl w:val="1"/>
                <w:numId w:val="9"/>
              </w:numPr>
              <w:spacing w:after="0" w:lineRule="auto"/>
              <w:ind w:left="1440" w:hanging="360"/>
              <w:jc w:val="both"/>
              <w:rPr>
                <w:rFonts w:ascii="Courier New" w:cs="Courier New" w:eastAsia="Courier New" w:hAnsi="Courier New"/>
                <w:sz w:val="21"/>
                <w:szCs w:val="21"/>
              </w:rPr>
            </w:pPr>
            <w:r w:rsidDel="00000000" w:rsidR="00000000" w:rsidRPr="00000000">
              <w:rPr>
                <w:rFonts w:ascii="Arial" w:cs="Arial" w:eastAsia="Arial" w:hAnsi="Arial"/>
                <w:sz w:val="21"/>
                <w:szCs w:val="21"/>
                <w:rtl w:val="0"/>
              </w:rPr>
              <w:t xml:space="preserve">1:10 groups with a maximum of twenty-five (25) members each </w:t>
            </w:r>
          </w:p>
          <w:p w:rsidR="00000000" w:rsidDel="00000000" w:rsidP="00000000" w:rsidRDefault="00000000" w:rsidRPr="00000000" w14:paraId="0000002B">
            <w:pPr>
              <w:numPr>
                <w:ilvl w:val="1"/>
                <w:numId w:val="9"/>
              </w:numPr>
              <w:spacing w:after="0" w:lineRule="auto"/>
              <w:ind w:left="1440" w:hanging="360"/>
              <w:jc w:val="both"/>
              <w:rPr>
                <w:rFonts w:ascii="Courier New" w:cs="Courier New" w:eastAsia="Courier New" w:hAnsi="Courier New"/>
                <w:sz w:val="21"/>
                <w:szCs w:val="21"/>
              </w:rPr>
            </w:pPr>
            <w:r w:rsidDel="00000000" w:rsidR="00000000" w:rsidRPr="00000000">
              <w:rPr>
                <w:rFonts w:ascii="Arial" w:cs="Arial" w:eastAsia="Arial" w:hAnsi="Arial"/>
                <w:sz w:val="21"/>
                <w:szCs w:val="21"/>
                <w:rtl w:val="0"/>
              </w:rPr>
              <w:t xml:space="preserve">1:4 communities of about one hundred (100) families each </w:t>
            </w:r>
          </w:p>
          <w:p w:rsidR="00000000" w:rsidDel="00000000" w:rsidP="00000000" w:rsidRDefault="00000000" w:rsidRPr="00000000" w14:paraId="0000002C">
            <w:pPr>
              <w:spacing w:after="0" w:lineRule="auto"/>
              <w:ind w:firstLine="0"/>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2D">
            <w:pPr>
              <w:numPr>
                <w:ilvl w:val="0"/>
                <w:numId w:val="7"/>
              </w:numPr>
              <w:spacing w:after="0" w:lineRule="auto"/>
              <w:ind w:left="720" w:hanging="36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A full-time RSW shall manage the following:</w:t>
            </w:r>
          </w:p>
          <w:p w:rsidR="00000000" w:rsidDel="00000000" w:rsidP="00000000" w:rsidRDefault="00000000" w:rsidRPr="00000000" w14:paraId="0000002E">
            <w:pPr>
              <w:spacing w:after="0" w:lineRule="auto"/>
              <w:ind w:firstLine="0"/>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2F">
            <w:pPr>
              <w:numPr>
                <w:ilvl w:val="0"/>
                <w:numId w:val="5"/>
              </w:numPr>
              <w:spacing w:after="0" w:lineRule="auto"/>
              <w:ind w:left="1080" w:hanging="36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1:20 beneficiaries for special cases, such as CNSP, CICL, Violence Against Women and Children (VAWC), survivors of trafficking, etc.</w:t>
            </w:r>
          </w:p>
          <w:p w:rsidR="00000000" w:rsidDel="00000000" w:rsidP="00000000" w:rsidRDefault="00000000" w:rsidRPr="00000000" w14:paraId="00000030">
            <w:pPr>
              <w:spacing w:after="0" w:lineRule="auto"/>
              <w:ind w:firstLine="0"/>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31">
            <w:pPr>
              <w:spacing w:after="0" w:lineRule="auto"/>
              <w:ind w:left="720" w:firstLine="0"/>
              <w:jc w:val="both"/>
              <w:rPr>
                <w:rFonts w:ascii="Arial" w:cs="Arial" w:eastAsia="Arial" w:hAnsi="Arial"/>
                <w:i w:val="1"/>
                <w:sz w:val="21"/>
                <w:szCs w:val="21"/>
              </w:rPr>
            </w:pPr>
            <w:r w:rsidDel="00000000" w:rsidR="00000000" w:rsidRPr="00000000">
              <w:rPr>
                <w:rFonts w:ascii="Arial" w:cs="Arial" w:eastAsia="Arial" w:hAnsi="Arial"/>
                <w:i w:val="1"/>
                <w:sz w:val="21"/>
                <w:szCs w:val="21"/>
                <w:rtl w:val="0"/>
              </w:rPr>
              <w:t xml:space="preserve">SW Assistant: In excess of at least 50% of the standard ratio for RSWs/Program Officers, the SW Assistant shall assist in the case management of the excess caseload. However, only the RSW/Program Officer shall sign and submit pertinent documents.</w:t>
            </w:r>
          </w:p>
          <w:p w:rsidR="00000000" w:rsidDel="00000000" w:rsidP="00000000" w:rsidRDefault="00000000" w:rsidRPr="00000000" w14:paraId="00000032">
            <w:pPr>
              <w:spacing w:after="0" w:lineRule="auto"/>
              <w:ind w:firstLine="0"/>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33">
            <w:pPr>
              <w:numPr>
                <w:ilvl w:val="0"/>
                <w:numId w:val="7"/>
              </w:numPr>
              <w:spacing w:after="0" w:lineRule="auto"/>
              <w:ind w:left="720" w:hanging="36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A full-time Adoption Social Worker</w:t>
            </w:r>
            <w:r w:rsidDel="00000000" w:rsidR="00000000" w:rsidRPr="00000000">
              <w:rPr>
                <w:rFonts w:ascii="Arial" w:cs="Arial" w:eastAsia="Arial" w:hAnsi="Arial"/>
                <w:sz w:val="21"/>
                <w:szCs w:val="21"/>
                <w:vertAlign w:val="superscript"/>
              </w:rPr>
              <w:footnoteReference w:customMarkFollows="0" w:id="0"/>
            </w:r>
            <w:r w:rsidDel="00000000" w:rsidR="00000000" w:rsidRPr="00000000">
              <w:rPr>
                <w:rFonts w:ascii="Arial" w:cs="Arial" w:eastAsia="Arial" w:hAnsi="Arial"/>
                <w:sz w:val="21"/>
                <w:szCs w:val="21"/>
                <w:rtl w:val="0"/>
              </w:rPr>
              <w:t xml:space="preserve"> for Child Placement Agencies:</w:t>
            </w:r>
          </w:p>
          <w:p w:rsidR="00000000" w:rsidDel="00000000" w:rsidP="00000000" w:rsidRDefault="00000000" w:rsidRPr="00000000" w14:paraId="00000034">
            <w:pPr>
              <w:spacing w:after="0" w:lineRule="auto"/>
              <w:ind w:firstLine="0"/>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35">
            <w:pPr>
              <w:numPr>
                <w:ilvl w:val="0"/>
                <w:numId w:val="6"/>
              </w:numPr>
              <w:spacing w:after="0" w:lineRule="auto"/>
              <w:ind w:left="1440" w:hanging="36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1:25 foster families with/without children placed in foster care program</w:t>
            </w:r>
          </w:p>
          <w:p w:rsidR="00000000" w:rsidDel="00000000" w:rsidP="00000000" w:rsidRDefault="00000000" w:rsidRPr="00000000" w14:paraId="00000036">
            <w:pPr>
              <w:numPr>
                <w:ilvl w:val="0"/>
                <w:numId w:val="6"/>
              </w:numPr>
              <w:spacing w:after="0" w:lineRule="auto"/>
              <w:ind w:left="1440" w:hanging="36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1:25 Prospective Adoptive Parents for Adoption program</w:t>
            </w:r>
          </w:p>
        </w:tc>
      </w:tr>
      <w:tr>
        <w:trPr>
          <w:cantSplit w:val="0"/>
          <w:tblHeader w:val="0"/>
        </w:trPr>
        <w:tc>
          <w:tcPr/>
          <w:p w:rsidR="00000000" w:rsidDel="00000000" w:rsidP="00000000" w:rsidRDefault="00000000" w:rsidRPr="00000000" w14:paraId="00000037">
            <w:pPr>
              <w:spacing w:after="0" w:lineRule="auto"/>
              <w:ind w:left="720" w:hanging="360"/>
              <w:jc w:val="both"/>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 REQUIRED STAFF FOR AUXILIARY SWDA :</w:t>
            </w:r>
          </w:p>
        </w:tc>
      </w:tr>
      <w:tr>
        <w:trPr>
          <w:cantSplit w:val="0"/>
          <w:tblHeader w:val="0"/>
        </w:trPr>
        <w:tc>
          <w:tcPr/>
          <w:p w:rsidR="00000000" w:rsidDel="00000000" w:rsidP="00000000" w:rsidRDefault="00000000" w:rsidRPr="00000000" w14:paraId="00000038">
            <w:pPr>
              <w:numPr>
                <w:ilvl w:val="0"/>
                <w:numId w:val="3"/>
              </w:numPr>
              <w:spacing w:after="0" w:lineRule="auto"/>
              <w:ind w:left="720" w:hanging="36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At least one (1) full time Registered Social Worker/Community Development Worker/Community Organizer who is a graduate of BS Social Work, BS Community Development or other courses with similar course description.</w:t>
            </w:r>
          </w:p>
        </w:tc>
      </w:tr>
    </w:tbl>
    <w:p w:rsidR="00000000" w:rsidDel="00000000" w:rsidP="00000000" w:rsidRDefault="00000000" w:rsidRPr="00000000" w14:paraId="00000039">
      <w:pPr>
        <w:widowControl w:val="0"/>
        <w:spacing w:after="0" w:before="48.409423828125" w:line="228.1701135635376" w:lineRule="auto"/>
        <w:ind w:right="45" w:firstLine="0"/>
        <w:jc w:val="both"/>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3A">
      <w:pPr>
        <w:ind w:firstLine="0"/>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3B">
      <w:pPr>
        <w:ind w:firstLine="0"/>
        <w:rPr>
          <w:rFonts w:ascii="Arial" w:cs="Arial" w:eastAsia="Arial" w:hAnsi="Arial"/>
          <w:sz w:val="24"/>
          <w:szCs w:val="24"/>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440" w:top="1607" w:left="1440" w:right="1440" w:header="851"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pBdr>
        <w:bottom w:color="000000" w:space="1" w:sz="12" w:val="single"/>
      </w:pBdr>
      <w:tabs>
        <w:tab w:val="left" w:leader="none" w:pos="4900"/>
        <w:tab w:val="center" w:leader="none" w:pos="5233"/>
      </w:tabs>
      <w:spacing w:after="0" w:line="240" w:lineRule="auto"/>
      <w:ind w:hanging="2"/>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PAGE </w:t>
    </w:r>
    <w:r w:rsidDel="00000000" w:rsidR="00000000" w:rsidRPr="00000000">
      <w:rPr>
        <w:rFonts w:ascii="Times New Roman" w:cs="Times New Roman" w:eastAsia="Times New Roman" w:hAnsi="Times New Roman"/>
        <w:b w:val="1"/>
        <w:sz w:val="16"/>
        <w:szCs w:val="16"/>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sz w:val="16"/>
        <w:szCs w:val="16"/>
        <w:rtl w:val="0"/>
      </w:rPr>
      <w:t xml:space="preserve"> of </w:t>
    </w:r>
    <w:r w:rsidDel="00000000" w:rsidR="00000000" w:rsidRPr="00000000">
      <w:rPr>
        <w:rFonts w:ascii="Times New Roman" w:cs="Times New Roman" w:eastAsia="Times New Roman" w:hAnsi="Times New Roman"/>
        <w:b w:val="1"/>
        <w:sz w:val="16"/>
        <w:szCs w:val="16"/>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4C">
    <w:pPr>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DSWD | RSIDG | SB</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pBdr>
        <w:top w:space="0" w:sz="0" w:val="nil"/>
        <w:left w:space="0" w:sz="0" w:val="nil"/>
        <w:bottom w:color="000000" w:space="1" w:sz="12" w:val="single"/>
        <w:right w:space="0" w:sz="0" w:val="nil"/>
        <w:between w:space="0" w:sz="0" w:val="nil"/>
      </w:pBdr>
      <w:tabs>
        <w:tab w:val="center" w:leader="none" w:pos="4680"/>
        <w:tab w:val="right" w:leader="none" w:pos="9360"/>
        <w:tab w:val="left" w:leader="none" w:pos="4900"/>
        <w:tab w:val="center" w:leader="none" w:pos="5233"/>
      </w:tabs>
      <w:spacing w:after="0" w:line="240" w:lineRule="auto"/>
      <w:ind w:left="142"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sz w:val="16"/>
        <w:szCs w:val="16"/>
        <w:rtl w:val="0"/>
      </w:rPr>
      <w:t xml:space="preserve">PAGE </w:t>
    </w:r>
    <w:r w:rsidDel="00000000" w:rsidR="00000000" w:rsidRPr="00000000">
      <w:rPr>
        <w:rFonts w:ascii="Times New Roman" w:cs="Times New Roman" w:eastAsia="Times New Roman" w:hAnsi="Times New Roman"/>
        <w:b w:val="1"/>
        <w:color w:val="000000"/>
        <w:sz w:val="16"/>
        <w:szCs w:val="16"/>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color w:val="000000"/>
        <w:sz w:val="16"/>
        <w:szCs w:val="16"/>
        <w:rtl w:val="0"/>
      </w:rPr>
      <w:t xml:space="preserve"> of </w:t>
    </w:r>
    <w:r w:rsidDel="00000000" w:rsidR="00000000" w:rsidRPr="00000000">
      <w:rPr>
        <w:rFonts w:ascii="Times New Roman" w:cs="Times New Roman" w:eastAsia="Times New Roman" w:hAnsi="Times New Roman"/>
        <w:b w:val="1"/>
        <w:color w:val="000000"/>
        <w:sz w:val="16"/>
        <w:szCs w:val="16"/>
      </w:rPr>
      <w:fldChar w:fldCharType="begin"/>
      <w:instrText xml:space="preserve">NUMPAGES</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5524500</wp:posOffset>
          </wp:positionH>
          <wp:positionV relativeFrom="paragraph">
            <wp:posOffset>-164453</wp:posOffset>
          </wp:positionV>
          <wp:extent cx="719455" cy="449580"/>
          <wp:effectExtent b="0" l="0" r="0" t="0"/>
          <wp:wrapSquare wrapText="bothSides" distB="0" distT="0" distL="114300" distR="114300"/>
          <wp:docPr id="10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19455" cy="44958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-257171</wp:posOffset>
          </wp:positionH>
          <wp:positionV relativeFrom="paragraph">
            <wp:posOffset>-48890</wp:posOffset>
          </wp:positionV>
          <wp:extent cx="718820" cy="430530"/>
          <wp:effectExtent b="0" l="0" r="0" t="0"/>
          <wp:wrapSquare wrapText="bothSides" distB="0" distT="0" distL="114300" distR="114300"/>
          <wp:docPr descr="C:\Users\ccabarraca\Desktop\CHILL\REFERENCE\ISO\ISMS Cert Mark.jpg" id="101" name="image2.jpg"/>
          <a:graphic>
            <a:graphicData uri="http://schemas.openxmlformats.org/drawingml/2006/picture">
              <pic:pic>
                <pic:nvPicPr>
                  <pic:cNvPr descr="C:\Users\ccabarraca\Desktop\CHILL\REFERENCE\ISO\ISMS Cert Mark.jpg" id="0" name="image2.jpg"/>
                  <pic:cNvPicPr preferRelativeResize="0"/>
                </pic:nvPicPr>
                <pic:blipFill>
                  <a:blip r:embed="rId2"/>
                  <a:srcRect b="0" l="0" r="0" t="0"/>
                  <a:stretch>
                    <a:fillRect/>
                  </a:stretch>
                </pic:blipFill>
                <pic:spPr>
                  <a:xfrm>
                    <a:off x="0" y="0"/>
                    <a:ext cx="718820" cy="430530"/>
                  </a:xfrm>
                  <a:prstGeom prst="rect"/>
                  <a:ln/>
                </pic:spPr>
              </pic:pic>
            </a:graphicData>
          </a:graphic>
        </wp:anchor>
      </w:drawing>
    </w:r>
  </w:p>
  <w:p w:rsidR="00000000" w:rsidDel="00000000" w:rsidP="00000000" w:rsidRDefault="00000000" w:rsidRPr="00000000" w14:paraId="0000004E">
    <w:pPr>
      <w:spacing w:after="0" w:line="240" w:lineRule="auto"/>
      <w:ind w:hanging="2"/>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DSWD Central Office, IBP Road, Batasan Pambansa Complex, Constitution Hills, Quezon City, Philippines 1126</w:t>
      <w:br w:type="textWrapping"/>
      <w:t xml:space="preserve">Website: </w:t>
    </w:r>
    <w:hyperlink r:id="rId3">
      <w:r w:rsidDel="00000000" w:rsidR="00000000" w:rsidRPr="00000000">
        <w:rPr>
          <w:rFonts w:ascii="Times New Roman" w:cs="Times New Roman" w:eastAsia="Times New Roman" w:hAnsi="Times New Roman"/>
          <w:color w:val="0000ff"/>
          <w:sz w:val="16"/>
          <w:szCs w:val="16"/>
          <w:u w:val="single"/>
          <w:rtl w:val="0"/>
        </w:rPr>
        <w:t xml:space="preserve">http://www.dswd.gov.ph</w:t>
      </w:r>
    </w:hyperlink>
    <w:r w:rsidDel="00000000" w:rsidR="00000000" w:rsidRPr="00000000">
      <w:rPr>
        <w:rFonts w:ascii="Times New Roman" w:cs="Times New Roman" w:eastAsia="Times New Roman" w:hAnsi="Times New Roman"/>
        <w:sz w:val="16"/>
        <w:szCs w:val="16"/>
        <w:rtl w:val="0"/>
      </w:rPr>
      <w:t xml:space="preserve"> Tel Nos.: (632) 8 931-8101 to 07  Telefax: (632) 8 931-8191</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pBdr>
        <w:bottom w:color="000000" w:space="1" w:sz="12" w:val="single"/>
      </w:pBdr>
      <w:tabs>
        <w:tab w:val="left" w:leader="none" w:pos="4900"/>
        <w:tab w:val="center" w:leader="none" w:pos="5233"/>
      </w:tabs>
      <w:spacing w:after="0" w:line="240" w:lineRule="auto"/>
      <w:ind w:hanging="2"/>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PAGE </w:t>
    </w:r>
    <w:r w:rsidDel="00000000" w:rsidR="00000000" w:rsidRPr="00000000">
      <w:rPr>
        <w:rFonts w:ascii="Times New Roman" w:cs="Times New Roman" w:eastAsia="Times New Roman" w:hAnsi="Times New Roman"/>
        <w:b w:val="1"/>
        <w:sz w:val="16"/>
        <w:szCs w:val="16"/>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sz w:val="16"/>
        <w:szCs w:val="16"/>
        <w:rtl w:val="0"/>
      </w:rPr>
      <w:t xml:space="preserve"> of </w:t>
    </w:r>
    <w:r w:rsidDel="00000000" w:rsidR="00000000" w:rsidRPr="00000000">
      <w:rPr>
        <w:rFonts w:ascii="Times New Roman" w:cs="Times New Roman" w:eastAsia="Times New Roman" w:hAnsi="Times New Roman"/>
        <w:b w:val="1"/>
        <w:sz w:val="16"/>
        <w:szCs w:val="16"/>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50">
    <w:pPr>
      <w:spacing w:after="0" w:line="240" w:lineRule="auto"/>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b w:val="1"/>
        <w:sz w:val="16"/>
        <w:szCs w:val="16"/>
        <w:rtl w:val="0"/>
      </w:rPr>
      <w:t xml:space="preserve">DSWD | (CLUSTER NAME / FIELD OFFICE NO.) | (OFFICE NAME)</w:t>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51">
      <w:pPr>
        <w:spacing w:after="0" w:line="240" w:lineRule="auto"/>
        <w:ind w:firstLine="0"/>
        <w:jc w:val="both"/>
        <w:rPr>
          <w:rFonts w:ascii="Arial" w:cs="Arial" w:eastAsia="Arial" w:hAnsi="Arial"/>
          <w:sz w:val="18"/>
          <w:szCs w:val="18"/>
        </w:rPr>
      </w:pPr>
      <w:r w:rsidDel="00000000" w:rsidR="00000000" w:rsidRPr="00000000">
        <w:rPr>
          <w:rStyle w:val="FootnoteReference"/>
          <w:vertAlign w:val="superscript"/>
        </w:rPr>
        <w:footnoteRef/>
      </w:r>
      <w:r w:rsidDel="00000000" w:rsidR="00000000" w:rsidRPr="00000000">
        <w:rPr>
          <w:rFonts w:ascii="Arial" w:cs="Arial" w:eastAsia="Arial" w:hAnsi="Arial"/>
          <w:sz w:val="18"/>
          <w:szCs w:val="18"/>
          <w:rtl w:val="0"/>
        </w:rPr>
        <w:t xml:space="preserve"> An Adoption Social Worker (ASW) is a person who is officially registered and licensed by the Professional Regulation Commission (PRC), as stated in Republic Act No. 9433, also known as the "Magna Carta for Public Social Workers." Ideally, this individual should have at least three years of experience dealing with alternative child care or adoption cases, or both. If the ASW is unavailable, an adoption para-social worker may be permitted to provide the necessary services. However, it is important to note that only duly registered and licensed social workers are authorized to sign and submit the relevant documents for child placement.</w:t>
      </w:r>
    </w:p>
    <w:p w:rsidR="00000000" w:rsidDel="00000000" w:rsidP="00000000" w:rsidRDefault="00000000" w:rsidRPr="00000000" w14:paraId="00000052">
      <w:pPr>
        <w:spacing w:after="0" w:line="240" w:lineRule="auto"/>
        <w:ind w:firstLine="0"/>
        <w:jc w:val="both"/>
        <w:rPr>
          <w:rFonts w:ascii="Arial" w:cs="Arial" w:eastAsia="Arial" w:hAnsi="Arial"/>
          <w:sz w:val="18"/>
          <w:szCs w:val="18"/>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240"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i w:val="1"/>
        <w:color w:val="000000"/>
        <w:sz w:val="16"/>
        <w:szCs w:val="16"/>
        <w:rtl w:val="0"/>
      </w:rPr>
      <w:t xml:space="preserve">DSWD-GF-010</w:t>
    </w:r>
    <w:r w:rsidDel="00000000" w:rsidR="00000000" w:rsidRPr="00000000">
      <w:rPr>
        <w:rFonts w:ascii="Times New Roman" w:cs="Times New Roman" w:eastAsia="Times New Roman" w:hAnsi="Times New Roman"/>
        <w:color w:val="000000"/>
        <w:sz w:val="16"/>
        <w:szCs w:val="16"/>
        <w:rtl w:val="0"/>
      </w:rPr>
      <w:t xml:space="preserve"> | </w:t>
    </w:r>
    <w:r w:rsidDel="00000000" w:rsidR="00000000" w:rsidRPr="00000000">
      <w:rPr>
        <w:rFonts w:ascii="Times New Roman" w:cs="Times New Roman" w:eastAsia="Times New Roman" w:hAnsi="Times New Roman"/>
        <w:i w:val="1"/>
        <w:color w:val="000000"/>
        <w:sz w:val="16"/>
        <w:szCs w:val="16"/>
        <w:rtl w:val="0"/>
      </w:rPr>
      <w:t xml:space="preserve">REV 0</w:t>
    </w:r>
    <w:r w:rsidDel="00000000" w:rsidR="00000000" w:rsidRPr="00000000">
      <w:rPr>
        <w:rFonts w:ascii="Times New Roman" w:cs="Times New Roman" w:eastAsia="Times New Roman" w:hAnsi="Times New Roman"/>
        <w:i w:val="1"/>
        <w:sz w:val="16"/>
        <w:szCs w:val="16"/>
        <w:rtl w:val="0"/>
      </w:rPr>
      <w:t xml:space="preserve">3</w:t>
    </w:r>
    <w:r w:rsidDel="00000000" w:rsidR="00000000" w:rsidRPr="00000000">
      <w:rPr>
        <w:rFonts w:ascii="Times New Roman" w:cs="Times New Roman" w:eastAsia="Times New Roman" w:hAnsi="Times New Roman"/>
        <w:i w:val="1"/>
        <w:color w:val="000000"/>
        <w:sz w:val="16"/>
        <w:szCs w:val="16"/>
        <w:rtl w:val="0"/>
      </w:rPr>
      <w:t xml:space="preserve"> | </w:t>
    </w:r>
    <w:r w:rsidDel="00000000" w:rsidR="00000000" w:rsidRPr="00000000">
      <w:rPr>
        <w:rFonts w:ascii="Times New Roman" w:cs="Times New Roman" w:eastAsia="Times New Roman" w:hAnsi="Times New Roman"/>
        <w:i w:val="1"/>
        <w:sz w:val="16"/>
        <w:szCs w:val="16"/>
        <w:rtl w:val="0"/>
      </w:rPr>
      <w:t xml:space="preserve">04 FEB 2025</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40" w:lineRule="auto"/>
      <w:jc w:val="right"/>
      <w:rPr>
        <w:rFonts w:ascii="Times New Roman" w:cs="Times New Roman" w:eastAsia="Times New Roman" w:hAnsi="Times New Roman"/>
        <w:i w:val="1"/>
        <w:sz w:val="16"/>
        <w:szCs w:val="16"/>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spacing w:after="0" w:line="240" w:lineRule="auto"/>
      <w:ind w:right="-330" w:hanging="2"/>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16"/>
        <w:szCs w:val="16"/>
        <w:rtl w:val="0"/>
      </w:rPr>
      <w:t xml:space="preserve">DSWD-GF-010 </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i w:val="1"/>
        <w:sz w:val="16"/>
        <w:szCs w:val="16"/>
        <w:rtl w:val="0"/>
      </w:rPr>
      <w:t xml:space="preserve">REV 03 | 04 FEB 2025</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-165099</wp:posOffset>
              </wp:positionH>
              <wp:positionV relativeFrom="paragraph">
                <wp:posOffset>88900</wp:posOffset>
              </wp:positionV>
              <wp:extent cx="3017520" cy="779780"/>
              <wp:effectExtent b="0" l="0" r="0" t="0"/>
              <wp:wrapNone/>
              <wp:docPr id="98" name=""/>
              <a:graphic>
                <a:graphicData uri="http://schemas.microsoft.com/office/word/2010/wordprocessingShape">
                  <wps:wsp>
                    <wps:cNvSpPr/>
                    <wps:cNvPr id="2" name="Shape 2"/>
                    <wps:spPr>
                      <a:xfrm>
                        <a:off x="3861053" y="3413923"/>
                        <a:ext cx="2969895" cy="73215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-165099</wp:posOffset>
              </wp:positionH>
              <wp:positionV relativeFrom="paragraph">
                <wp:posOffset>88900</wp:posOffset>
              </wp:positionV>
              <wp:extent cx="3017520" cy="779780"/>
              <wp:effectExtent b="0" l="0" r="0" t="0"/>
              <wp:wrapNone/>
              <wp:docPr id="98"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3017520" cy="779780"/>
                      </a:xfrm>
                      <a:prstGeom prst="rect"/>
                      <a:ln/>
                    </pic:spPr>
                  </pic:pic>
                </a:graphicData>
              </a:graphic>
            </wp:anchor>
          </w:drawing>
        </mc:Fallback>
      </mc:AlternateConten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after="0" w:line="276" w:lineRule="auto"/>
      <w:ind w:hanging="2"/>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-838199</wp:posOffset>
              </wp:positionH>
              <wp:positionV relativeFrom="paragraph">
                <wp:posOffset>25400</wp:posOffset>
              </wp:positionV>
              <wp:extent cx="2969260" cy="756499"/>
              <wp:effectExtent b="0" l="0" r="0" t="0"/>
              <wp:wrapNone/>
              <wp:docPr id="99" name=""/>
              <a:graphic>
                <a:graphicData uri="http://schemas.microsoft.com/office/word/2010/wordprocessingGroup">
                  <wpg:wgp>
                    <wpg:cNvGrpSpPr/>
                    <wpg:grpSpPr>
                      <a:xfrm>
                        <a:off x="3861350" y="3401750"/>
                        <a:ext cx="2969260" cy="756499"/>
                        <a:chOff x="3861350" y="3401750"/>
                        <a:chExt cx="2969300" cy="756500"/>
                      </a:xfrm>
                    </wpg:grpSpPr>
                    <wpg:grpSp>
                      <wpg:cNvGrpSpPr/>
                      <wpg:grpSpPr>
                        <a:xfrm>
                          <a:off x="3861370" y="3401751"/>
                          <a:ext cx="2969260" cy="756499"/>
                          <a:chOff x="3861350" y="3401750"/>
                          <a:chExt cx="2969300" cy="756500"/>
                        </a:xfrm>
                      </wpg:grpSpPr>
                      <wps:wsp>
                        <wps:cNvSpPr/>
                        <wps:cNvPr id="4" name="Shape 4"/>
                        <wps:spPr>
                          <a:xfrm>
                            <a:off x="3861350" y="3401750"/>
                            <a:ext cx="2969300" cy="756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861370" y="3401751"/>
                            <a:ext cx="2969260" cy="756499"/>
                            <a:chOff x="3861350" y="3401750"/>
                            <a:chExt cx="2969300" cy="756500"/>
                          </a:xfrm>
                        </wpg:grpSpPr>
                        <wps:wsp>
                          <wps:cNvSpPr/>
                          <wps:cNvPr id="6" name="Shape 6"/>
                          <wps:spPr>
                            <a:xfrm>
                              <a:off x="3861350" y="3401750"/>
                              <a:ext cx="2969300" cy="756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861370" y="3401751"/>
                              <a:ext cx="2969260" cy="756499"/>
                              <a:chOff x="3861350" y="3406475"/>
                              <a:chExt cx="2969300" cy="747050"/>
                            </a:xfrm>
                          </wpg:grpSpPr>
                          <wps:wsp>
                            <wps:cNvSpPr/>
                            <wps:cNvPr id="8" name="Shape 8"/>
                            <wps:spPr>
                              <a:xfrm>
                                <a:off x="3861350" y="3406475"/>
                                <a:ext cx="2969300" cy="747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861370" y="3406479"/>
                                <a:ext cx="2969260" cy="747043"/>
                                <a:chOff x="3861350" y="3414225"/>
                                <a:chExt cx="2969300" cy="731550"/>
                              </a:xfrm>
                            </wpg:grpSpPr>
                            <wps:wsp>
                              <wps:cNvSpPr/>
                              <wps:cNvPr id="10" name="Shape 10"/>
                              <wps:spPr>
                                <a:xfrm>
                                  <a:off x="3861350" y="3414225"/>
                                  <a:ext cx="2969300" cy="731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861370" y="3414240"/>
                                  <a:ext cx="2969260" cy="731520"/>
                                  <a:chOff x="0" y="0"/>
                                  <a:chExt cx="2970147" cy="732150"/>
                                </a:xfrm>
                              </wpg:grpSpPr>
                              <wps:wsp>
                                <wps:cNvSpPr/>
                                <wps:cNvPr id="12" name="Shape 12"/>
                                <wps:spPr>
                                  <a:xfrm>
                                    <a:off x="0" y="0"/>
                                    <a:ext cx="2970125" cy="732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0" y="0"/>
                                    <a:ext cx="2970125" cy="732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4" name="Shape 14"/>
                                  <pic:cNvPicPr preferRelativeResize="0"/>
                                </pic:nvPicPr>
                                <pic:blipFill rotWithShape="1">
                                  <a:blip r:embed="rId2">
                                    <a:alphaModFix/>
                                  </a:blip>
                                  <a:srcRect b="16568" l="68745" r="7196" t="5246"/>
                                  <a:stretch/>
                                </pic:blipFill>
                                <pic:spPr>
                                  <a:xfrm>
                                    <a:off x="2380232" y="49506"/>
                                    <a:ext cx="589915" cy="570865"/>
                                  </a:xfrm>
                                  <a:prstGeom prst="rect">
                                    <a:avLst/>
                                  </a:prstGeom>
                                  <a:noFill/>
                                  <a:ln>
                                    <a:noFill/>
                                  </a:ln>
                                </pic:spPr>
                              </pic:pic>
                            </wpg:grpSp>
                          </wpg:grpSp>
                        </wpg:grpSp>
                      </wpg:grpSp>
                    </wpg:grpSp>
                  </wpg:wgp>
                </a:graphicData>
              </a:graphic>
            </wp:anchor>
          </w:drawing>
        </mc:Choice>
        <mc:Fallback>
          <w:drawing>
            <wp:anchor allowOverlap="1" behindDoc="1" distB="0" distT="0" distL="0" distR="0" hidden="0" layoutInCell="1" locked="0" relativeHeight="0" simplePos="0">
              <wp:simplePos x="0" y="0"/>
              <wp:positionH relativeFrom="column">
                <wp:posOffset>-838199</wp:posOffset>
              </wp:positionH>
              <wp:positionV relativeFrom="paragraph">
                <wp:posOffset>25400</wp:posOffset>
              </wp:positionV>
              <wp:extent cx="2969260" cy="756499"/>
              <wp:effectExtent b="0" l="0" r="0" t="0"/>
              <wp:wrapNone/>
              <wp:docPr id="99"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2969260" cy="756499"/>
                      </a:xfrm>
                      <a:prstGeom prst="rect"/>
                      <a:ln/>
                    </pic:spPr>
                  </pic:pic>
                </a:graphicData>
              </a:graphic>
            </wp:anchor>
          </w:drawing>
        </mc:Fallback>
      </mc:AlternateContent>
    </w:r>
  </w:p>
  <w:tbl>
    <w:tblPr>
      <w:tblStyle w:val="Table2"/>
      <w:tblW w:w="11895.0" w:type="dxa"/>
      <w:jc w:val="left"/>
      <w:tblInd w:w="-108.0" w:type="dxa"/>
      <w:tblLayout w:type="fixed"/>
      <w:tblLook w:val="0000"/>
    </w:tblPr>
    <w:tblGrid>
      <w:gridCol w:w="2715"/>
      <w:gridCol w:w="3690"/>
      <w:gridCol w:w="2745"/>
      <w:gridCol w:w="2745"/>
      <w:tblGridChange w:id="0">
        <w:tblGrid>
          <w:gridCol w:w="2715"/>
          <w:gridCol w:w="3690"/>
          <w:gridCol w:w="2745"/>
          <w:gridCol w:w="2745"/>
        </w:tblGrid>
      </w:tblGridChange>
    </w:tblGrid>
    <w:tr>
      <w:trPr>
        <w:cantSplit w:val="0"/>
        <w:tblHeader w:val="0"/>
      </w:trPr>
      <w:tc>
        <w:tcPr>
          <w:vMerge w:val="restart"/>
          <w:vAlign w:val="center"/>
        </w:tcPr>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240" w:lineRule="auto"/>
            <w:ind w:hanging="2"/>
            <w:rPr>
              <w:rFonts w:ascii="Times New Roman" w:cs="Times New Roman" w:eastAsia="Times New Roman" w:hAnsi="Times New Roman"/>
              <w:color w:val="000000"/>
            </w:rPr>
          </w:pPr>
          <w:bookmarkStart w:colFirst="0" w:colLast="0" w:name="_heading=h.1fob9te" w:id="1"/>
          <w:bookmarkEnd w:id="1"/>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-153029</wp:posOffset>
                </wp:positionH>
                <wp:positionV relativeFrom="paragraph">
                  <wp:posOffset>-165096</wp:posOffset>
                </wp:positionV>
                <wp:extent cx="1779270" cy="735965"/>
                <wp:effectExtent b="0" l="0" r="0" t="0"/>
                <wp:wrapNone/>
                <wp:docPr id="100" name="image3.png"/>
                <a:graphic>
                  <a:graphicData uri="http://schemas.openxmlformats.org/drawingml/2006/picture">
                    <pic:pic>
                      <pic:nvPicPr>
                        <pic:cNvPr id="0" name="image3.png"/>
                        <pic:cNvPicPr preferRelativeResize="0"/>
                      </pic:nvPicPr>
                      <pic:blipFill>
                        <a:blip r:embed="rId3"/>
                        <a:srcRect b="0" l="0" r="0" t="0"/>
                        <a:stretch>
                          <a:fillRect/>
                        </a:stretch>
                      </pic:blipFill>
                      <pic:spPr>
                        <a:xfrm>
                          <a:off x="0" y="0"/>
                          <a:ext cx="1779270" cy="735965"/>
                        </a:xfrm>
                        <a:prstGeom prst="rect"/>
                        <a:ln/>
                      </pic:spPr>
                    </pic:pic>
                  </a:graphicData>
                </a:graphic>
              </wp:anchor>
            </w:drawing>
          </w:r>
        </w:p>
      </w:tc>
      <w:tc>
        <w:tcPr/>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ind w:hanging="2"/>
            <w:jc w:val="right"/>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240" w:lineRule="auto"/>
            <w:ind w:hanging="2"/>
            <w:jc w:val="right"/>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240" w:lineRule="auto"/>
            <w:ind w:hanging="2"/>
            <w:jc w:val="right"/>
            <w:rPr>
              <w:rFonts w:ascii="Times New Roman" w:cs="Times New Roman" w:eastAsia="Times New Roman" w:hAnsi="Times New Roman"/>
              <w:color w:val="000000"/>
            </w:rPr>
          </w:pPr>
          <w:r w:rsidDel="00000000" w:rsidR="00000000" w:rsidRPr="00000000">
            <w:rPr>
              <w:rtl w:val="0"/>
            </w:rPr>
          </w:r>
        </w:p>
      </w:tc>
    </w:tr>
    <w:tr>
      <w:trPr>
        <w:cantSplit w:val="0"/>
        <w:trHeight w:val="426" w:hRule="atLeast"/>
        <w:tblHeader w:val="0"/>
      </w:trPr>
      <w:tc>
        <w:tcPr>
          <w:vMerge w:val="continue"/>
          <w:vAlign w:val="cente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045">
          <w:pPr>
            <w:spacing w:after="0" w:line="240" w:lineRule="auto"/>
            <w:ind w:right="36" w:hanging="2"/>
            <w:rPr>
              <w:rFonts w:ascii="Times New Roman" w:cs="Times New Roman" w:eastAsia="Times New Roman" w:hAnsi="Times New Roman"/>
              <w:sz w:val="8"/>
              <w:szCs w:val="8"/>
            </w:rPr>
          </w:pPr>
          <w:r w:rsidDel="00000000" w:rsidR="00000000" w:rsidRPr="00000000">
            <w:rPr>
              <w:rtl w:val="0"/>
            </w:rPr>
          </w:r>
        </w:p>
      </w:tc>
      <w:tc>
        <w:tcPr/>
        <w:p w:rsidR="00000000" w:rsidDel="00000000" w:rsidP="00000000" w:rsidRDefault="00000000" w:rsidRPr="00000000" w14:paraId="00000046">
          <w:pPr>
            <w:tabs>
              <w:tab w:val="left" w:leader="none" w:pos="3299"/>
              <w:tab w:val="right" w:leader="none" w:pos="4292"/>
            </w:tabs>
            <w:spacing w:after="0" w:line="240" w:lineRule="auto"/>
            <w:ind w:hanging="2"/>
            <w:jc w:val="right"/>
            <w:rPr>
              <w:rFonts w:ascii="Times New Roman" w:cs="Times New Roman" w:eastAsia="Times New Roman" w:hAnsi="Times New Roman"/>
              <w:i w:val="1"/>
              <w:sz w:val="16"/>
              <w:szCs w:val="16"/>
            </w:rPr>
          </w:pPr>
          <w:r w:rsidDel="00000000" w:rsidR="00000000" w:rsidRPr="00000000">
            <w:rPr>
              <w:rtl w:val="0"/>
            </w:rPr>
          </w:r>
        </w:p>
      </w:tc>
      <w:tc>
        <w:tcPr/>
        <w:p w:rsidR="00000000" w:rsidDel="00000000" w:rsidP="00000000" w:rsidRDefault="00000000" w:rsidRPr="00000000" w14:paraId="00000047">
          <w:pPr>
            <w:tabs>
              <w:tab w:val="left" w:leader="none" w:pos="3299"/>
              <w:tab w:val="right" w:leader="none" w:pos="4292"/>
            </w:tabs>
            <w:spacing w:after="0" w:line="240" w:lineRule="auto"/>
            <w:ind w:hanging="2"/>
            <w:jc w:val="right"/>
            <w:rPr>
              <w:rFonts w:ascii="Times New Roman" w:cs="Times New Roman" w:eastAsia="Times New Roman" w:hAnsi="Times New Roman"/>
              <w:i w:val="1"/>
              <w:sz w:val="16"/>
              <w:szCs w:val="16"/>
            </w:rPr>
          </w:pPr>
          <w:r w:rsidDel="00000000" w:rsidR="00000000" w:rsidRPr="00000000">
            <w:rPr>
              <w:rtl w:val="0"/>
            </w:rPr>
          </w:r>
        </w:p>
      </w:tc>
    </w:tr>
  </w:tbl>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40" w:lineRule="auto"/>
      <w:ind w:firstLine="0"/>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00000"/>
        <w:sz w:val="10"/>
        <w:szCs w:val="10"/>
      </w:rPr>
    </w:pPr>
    <w:r w:rsidDel="00000000" w:rsidR="00000000" w:rsidRPr="00000000">
      <w:rPr>
        <w:rFonts w:ascii="Arial" w:cs="Arial" w:eastAsia="Arial" w:hAnsi="Arial"/>
        <w:i w:val="1"/>
        <w:color w:val="000000"/>
        <w:sz w:val="10"/>
        <w:szCs w:val="10"/>
        <w:rtl w:val="0"/>
      </w:rPr>
      <w:t xml:space="preserve">DSWD-GF-010</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240" w:lineRule="auto"/>
      <w:jc w:val="right"/>
      <w:rPr>
        <w:color w:val="000000"/>
      </w:rPr>
    </w:pPr>
    <w:bookmarkStart w:colFirst="0" w:colLast="0" w:name="_heading=h.30j0zll" w:id="2"/>
    <w:bookmarkEnd w:id="2"/>
    <w:r w:rsidDel="00000000" w:rsidR="00000000" w:rsidRPr="00000000">
      <w:rPr>
        <w:rFonts w:ascii="Arial" w:cs="Arial" w:eastAsia="Arial" w:hAnsi="Arial"/>
        <w:i w:val="1"/>
        <w:color w:val="000000"/>
        <w:sz w:val="10"/>
        <w:szCs w:val="10"/>
        <w:rtl w:val="0"/>
      </w:rPr>
      <w:t xml:space="preserve">REV 0</w:t>
    </w:r>
    <w:r w:rsidDel="00000000" w:rsidR="00000000" w:rsidRPr="00000000">
      <w:rPr>
        <w:rFonts w:ascii="Arial" w:cs="Arial" w:eastAsia="Arial" w:hAnsi="Arial"/>
        <w:i w:val="1"/>
        <w:sz w:val="10"/>
        <w:szCs w:val="10"/>
        <w:rtl w:val="0"/>
      </w:rPr>
      <w:t xml:space="preserve">0</w:t>
    </w:r>
    <w:r w:rsidDel="00000000" w:rsidR="00000000" w:rsidRPr="00000000">
      <w:rPr>
        <w:rFonts w:ascii="Arial" w:cs="Arial" w:eastAsia="Arial" w:hAnsi="Arial"/>
        <w:i w:val="1"/>
        <w:color w:val="000000"/>
        <w:sz w:val="10"/>
        <w:szCs w:val="10"/>
        <w:rtl w:val="0"/>
      </w:rPr>
      <w:t xml:space="preserve"> / 12 OCT 2021</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080" w:hanging="360"/>
      </w:pPr>
      <w:rPr>
        <w:u w:val="none"/>
      </w:rPr>
    </w:lvl>
    <w:lvl w:ilvl="1">
      <w:start w:val="1"/>
      <w:numFmt w:val="bullet"/>
      <w:lvlText w:val="o"/>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o"/>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o"/>
      <w:lvlJc w:val="left"/>
      <w:pPr>
        <w:ind w:left="6120" w:hanging="360"/>
      </w:pPr>
      <w:rPr>
        <w:u w:val="none"/>
      </w:rPr>
    </w:lvl>
    <w:lvl w:ilvl="8">
      <w:start w:val="1"/>
      <w:numFmt w:val="bullet"/>
      <w:lvlText w:val="▪"/>
      <w:lvlJc w:val="left"/>
      <w:pPr>
        <w:ind w:left="6840" w:hanging="360"/>
      </w:pPr>
      <w:rPr>
        <w:u w:val="none"/>
      </w:rPr>
    </w:lvl>
  </w:abstractNum>
  <w:abstractNum w:abstractNumId="5">
    <w:lvl w:ilvl="0">
      <w:start w:val="1"/>
      <w:numFmt w:val="bullet"/>
      <w:lvlText w:val="●"/>
      <w:lvlJc w:val="left"/>
      <w:pPr>
        <w:ind w:left="1494" w:hanging="359.99999999999955"/>
      </w:pPr>
      <w:rPr>
        <w:u w:val="none"/>
      </w:rPr>
    </w:lvl>
    <w:lvl w:ilvl="1">
      <w:start w:val="1"/>
      <w:numFmt w:val="bullet"/>
      <w:lvlText w:val="o"/>
      <w:lvlJc w:val="left"/>
      <w:pPr>
        <w:ind w:left="2214" w:hanging="360"/>
      </w:pPr>
      <w:rPr>
        <w:u w:val="none"/>
      </w:rPr>
    </w:lvl>
    <w:lvl w:ilvl="2">
      <w:start w:val="1"/>
      <w:numFmt w:val="bullet"/>
      <w:lvlText w:val="▪"/>
      <w:lvlJc w:val="left"/>
      <w:pPr>
        <w:ind w:left="2934" w:hanging="360"/>
      </w:pPr>
      <w:rPr>
        <w:u w:val="none"/>
      </w:rPr>
    </w:lvl>
    <w:lvl w:ilvl="3">
      <w:start w:val="1"/>
      <w:numFmt w:val="bullet"/>
      <w:lvlText w:val="●"/>
      <w:lvlJc w:val="left"/>
      <w:pPr>
        <w:ind w:left="3654" w:hanging="360"/>
      </w:pPr>
      <w:rPr>
        <w:u w:val="none"/>
      </w:rPr>
    </w:lvl>
    <w:lvl w:ilvl="4">
      <w:start w:val="1"/>
      <w:numFmt w:val="bullet"/>
      <w:lvlText w:val="o"/>
      <w:lvlJc w:val="left"/>
      <w:pPr>
        <w:ind w:left="4374" w:hanging="360"/>
      </w:pPr>
      <w:rPr>
        <w:u w:val="none"/>
      </w:rPr>
    </w:lvl>
    <w:lvl w:ilvl="5">
      <w:start w:val="1"/>
      <w:numFmt w:val="bullet"/>
      <w:lvlText w:val="▪"/>
      <w:lvlJc w:val="left"/>
      <w:pPr>
        <w:ind w:left="5094" w:hanging="360"/>
      </w:pPr>
      <w:rPr>
        <w:u w:val="none"/>
      </w:rPr>
    </w:lvl>
    <w:lvl w:ilvl="6">
      <w:start w:val="1"/>
      <w:numFmt w:val="bullet"/>
      <w:lvlText w:val="●"/>
      <w:lvlJc w:val="left"/>
      <w:pPr>
        <w:ind w:left="5814" w:hanging="360"/>
      </w:pPr>
      <w:rPr>
        <w:u w:val="none"/>
      </w:rPr>
    </w:lvl>
    <w:lvl w:ilvl="7">
      <w:start w:val="1"/>
      <w:numFmt w:val="bullet"/>
      <w:lvlText w:val="o"/>
      <w:lvlJc w:val="left"/>
      <w:pPr>
        <w:ind w:left="6534" w:hanging="360"/>
      </w:pPr>
      <w:rPr>
        <w:u w:val="none"/>
      </w:rPr>
    </w:lvl>
    <w:lvl w:ilvl="8">
      <w:start w:val="1"/>
      <w:numFmt w:val="bullet"/>
      <w:lvlText w:val="▪"/>
      <w:lvlJc w:val="left"/>
      <w:pPr>
        <w:ind w:left="7254" w:hanging="360"/>
      </w:pPr>
      <w:rPr>
        <w:u w:val="none"/>
      </w:rPr>
    </w:lvl>
  </w:abstractNum>
  <w:abstractNum w:abstractNumId="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PH"/>
      </w:rPr>
    </w:rPrDefault>
    <w:pPrDefault>
      <w:pPr>
        <w:spacing w:after="160" w:line="259"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paragraph" w:styleId="Footer">
    <w:name w:val="footer"/>
    <w:basedOn w:val="Normal"/>
    <w:link w:val="FooterChar"/>
    <w:uiPriority w:val="99"/>
    <w:semiHidden w:val="1"/>
    <w:unhideWhenUsed w:val="1"/>
    <w:rsid w:val="008177D4"/>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8177D4"/>
  </w:style>
  <w:style w:type="paragraph" w:styleId="BalloonText">
    <w:name w:val="Balloon Text"/>
    <w:basedOn w:val="Normal"/>
    <w:link w:val="BalloonTextChar"/>
    <w:uiPriority w:val="99"/>
    <w:semiHidden w:val="1"/>
    <w:unhideWhenUsed w:val="1"/>
    <w:rsid w:val="005419CB"/>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419CB"/>
    <w:rPr>
      <w:rFonts w:ascii="Segoe UI" w:cs="Segoe UI" w:hAnsi="Segoe UI"/>
      <w:sz w:val="18"/>
      <w:szCs w:val="18"/>
    </w:rPr>
  </w:style>
  <w:style w:type="character" w:styleId="Hyperlink">
    <w:name w:val="Hyperlink"/>
    <w:basedOn w:val="DefaultParagraphFont"/>
    <w:uiPriority w:val="99"/>
    <w:semiHidden w:val="1"/>
    <w:unhideWhenUsed w:val="1"/>
    <w:rsid w:val="002B48EC"/>
    <w:rPr>
      <w:color w:val="0000ff"/>
      <w:u w:val="single"/>
    </w:r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paragraph" w:styleId="NoSpacing">
    <w:name w:val="No Spacing"/>
    <w:uiPriority w:val="1"/>
    <w:qFormat w:val="1"/>
    <w:rsid w:val="00700694"/>
    <w:pPr>
      <w:spacing w:after="0" w:line="240" w:lineRule="auto"/>
      <w:ind w:firstLine="0"/>
    </w:p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 Id="rId3" Type="http://schemas.openxmlformats.org/officeDocument/2006/relationships/hyperlink" Target="http://www.dswd.gov.p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6.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WLw1Mxc3hH2J4LAoNvhSmGzKYw==">CgMxLjAyDmguM2E3MTh1OWlrYmo5MgloLjFmb2I5dGUyCWguMzBqMHpsbDgAciExVFZsMlJMUi1OX2dKS01hZE41SDUta0VBY1B1YXFiOTQ=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2023-09-22T04:00:00Z</dcterms:created>
  <dc:creator>DSWD</dc:creator>
</cp:coreProperties>
</file>